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3" w:rsidRDefault="00B473B3" w:rsidP="00B473B3"/>
    <w:p w:rsidR="00625B2F" w:rsidRDefault="00625B2F">
      <w:pPr>
        <w:rPr>
          <w:lang w:val="en-US"/>
        </w:rPr>
      </w:pPr>
    </w:p>
    <w:p w:rsidR="00625B2F" w:rsidRPr="00376B46" w:rsidRDefault="0026759E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c</w:t>
      </w:r>
      <w:r>
        <w:rPr>
          <w:b/>
          <w:bCs/>
          <w:caps/>
          <w:sz w:val="28"/>
          <w:szCs w:val="28"/>
        </w:rPr>
        <w:t xml:space="preserve">редние цены и индексы </w:t>
      </w:r>
      <w:r w:rsidR="00625B2F" w:rsidRPr="00376B46">
        <w:rPr>
          <w:b/>
          <w:bCs/>
          <w:caps/>
          <w:sz w:val="28"/>
          <w:szCs w:val="28"/>
        </w:rPr>
        <w:t xml:space="preserve">ПОТРЕБИТЕЛЬСКИХ цен на бензин и ДИЗЕЛЬНОЕ ТОПЛИВО в </w:t>
      </w:r>
      <w:r w:rsidR="007A1FDE">
        <w:rPr>
          <w:b/>
          <w:bCs/>
          <w:caps/>
          <w:sz w:val="28"/>
          <w:szCs w:val="28"/>
        </w:rPr>
        <w:t>но</w:t>
      </w:r>
      <w:r w:rsidR="002368EF">
        <w:rPr>
          <w:b/>
          <w:bCs/>
          <w:caps/>
          <w:sz w:val="28"/>
          <w:szCs w:val="28"/>
        </w:rPr>
        <w:t>ябр</w:t>
      </w:r>
      <w:r w:rsidR="0020624D">
        <w:rPr>
          <w:b/>
          <w:bCs/>
          <w:caps/>
          <w:sz w:val="28"/>
          <w:szCs w:val="28"/>
        </w:rPr>
        <w:t>е</w:t>
      </w:r>
      <w:r w:rsidR="002A4BB2">
        <w:rPr>
          <w:b/>
          <w:bCs/>
          <w:caps/>
          <w:sz w:val="28"/>
          <w:szCs w:val="28"/>
        </w:rPr>
        <w:t xml:space="preserve"> </w:t>
      </w:r>
      <w:r w:rsidR="00625B2F" w:rsidRPr="00376B46">
        <w:rPr>
          <w:b/>
          <w:bCs/>
          <w:caps/>
          <w:sz w:val="28"/>
          <w:szCs w:val="28"/>
        </w:rPr>
        <w:t>201</w:t>
      </w:r>
      <w:r>
        <w:rPr>
          <w:b/>
          <w:bCs/>
          <w:caps/>
          <w:sz w:val="28"/>
          <w:szCs w:val="28"/>
        </w:rPr>
        <w:t>8</w:t>
      </w:r>
      <w:r w:rsidR="00625B2F" w:rsidRPr="00376B46">
        <w:rPr>
          <w:b/>
          <w:bCs/>
          <w:caps/>
          <w:sz w:val="28"/>
          <w:szCs w:val="28"/>
        </w:rPr>
        <w:t xml:space="preserve"> года</w:t>
      </w:r>
    </w:p>
    <w:p w:rsidR="00625B2F" w:rsidRPr="00376B46" w:rsidRDefault="00625B2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6B46">
        <w:rPr>
          <w:b/>
          <w:bCs/>
          <w:sz w:val="28"/>
          <w:szCs w:val="28"/>
        </w:rPr>
        <w:t>ПО КАМЧАТСКОМУ КРАЮ</w:t>
      </w:r>
    </w:p>
    <w:p w:rsidR="00625B2F" w:rsidRDefault="00625B2F" w:rsidP="0013769F">
      <w:pPr>
        <w:pStyle w:val="a3"/>
        <w:spacing w:before="0" w:beforeAutospacing="0" w:after="0" w:afterAutospacing="0"/>
        <w:ind w:right="-1134"/>
        <w:jc w:val="center"/>
        <w:rPr>
          <w:b/>
          <w:bCs/>
        </w:rPr>
      </w:pPr>
    </w:p>
    <w:p w:rsidR="00376B46" w:rsidRDefault="00376B4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25B2F" w:rsidRPr="0077639D" w:rsidRDefault="002D6567" w:rsidP="00AA4BA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1FDE">
        <w:rPr>
          <w:sz w:val="28"/>
          <w:szCs w:val="28"/>
        </w:rPr>
        <w:t>но</w:t>
      </w:r>
      <w:r w:rsidR="002368EF">
        <w:rPr>
          <w:sz w:val="28"/>
          <w:szCs w:val="28"/>
        </w:rPr>
        <w:t>ябр</w:t>
      </w:r>
      <w:r w:rsidR="002A7437">
        <w:rPr>
          <w:sz w:val="28"/>
          <w:szCs w:val="28"/>
        </w:rPr>
        <w:t>е</w:t>
      </w:r>
      <w:r w:rsidR="0020624D">
        <w:rPr>
          <w:sz w:val="28"/>
          <w:szCs w:val="28"/>
        </w:rPr>
        <w:t xml:space="preserve"> </w:t>
      </w:r>
      <w:r w:rsidR="00F341D3">
        <w:rPr>
          <w:sz w:val="28"/>
          <w:szCs w:val="28"/>
        </w:rPr>
        <w:t>201</w:t>
      </w:r>
      <w:r w:rsidR="0026759E">
        <w:rPr>
          <w:sz w:val="28"/>
          <w:szCs w:val="28"/>
        </w:rPr>
        <w:t>8</w:t>
      </w:r>
      <w:r w:rsidR="00EF1FC5">
        <w:rPr>
          <w:sz w:val="28"/>
          <w:szCs w:val="28"/>
        </w:rPr>
        <w:t xml:space="preserve"> года</w:t>
      </w:r>
      <w:r w:rsidR="00625B2F">
        <w:rPr>
          <w:sz w:val="28"/>
          <w:szCs w:val="28"/>
        </w:rPr>
        <w:t xml:space="preserve"> индекс потребительских цен на бензин</w:t>
      </w:r>
      <w:r w:rsidR="00AD0ECF" w:rsidRPr="00AD0ECF">
        <w:rPr>
          <w:sz w:val="28"/>
          <w:szCs w:val="28"/>
        </w:rPr>
        <w:t xml:space="preserve"> </w:t>
      </w:r>
      <w:r w:rsidR="00AD0ECF">
        <w:rPr>
          <w:sz w:val="28"/>
          <w:szCs w:val="28"/>
        </w:rPr>
        <w:t>а</w:t>
      </w:r>
      <w:r w:rsidR="00625B2F">
        <w:rPr>
          <w:sz w:val="28"/>
          <w:szCs w:val="28"/>
        </w:rPr>
        <w:t xml:space="preserve">втомобильный </w:t>
      </w:r>
      <w:r w:rsidR="00625B2F" w:rsidRPr="00AD5FD5">
        <w:rPr>
          <w:bCs/>
          <w:sz w:val="28"/>
          <w:szCs w:val="28"/>
        </w:rPr>
        <w:t xml:space="preserve">по отношению к </w:t>
      </w:r>
      <w:r w:rsidR="006C7EC1">
        <w:rPr>
          <w:bCs/>
          <w:sz w:val="28"/>
          <w:szCs w:val="28"/>
        </w:rPr>
        <w:t>декаб</w:t>
      </w:r>
      <w:r w:rsidR="00625B2F" w:rsidRPr="00AD5FD5">
        <w:rPr>
          <w:bCs/>
          <w:sz w:val="28"/>
          <w:szCs w:val="28"/>
        </w:rPr>
        <w:t>рю 201</w:t>
      </w:r>
      <w:r w:rsidR="0026759E">
        <w:rPr>
          <w:bCs/>
          <w:sz w:val="28"/>
          <w:szCs w:val="28"/>
        </w:rPr>
        <w:t>7</w:t>
      </w:r>
      <w:r w:rsidR="00625B2F" w:rsidRPr="00AD5FD5">
        <w:rPr>
          <w:bCs/>
          <w:sz w:val="28"/>
          <w:szCs w:val="28"/>
        </w:rPr>
        <w:t xml:space="preserve"> года </w:t>
      </w:r>
      <w:r w:rsidR="00AD5FD5" w:rsidRPr="0077639D">
        <w:rPr>
          <w:sz w:val="28"/>
          <w:szCs w:val="28"/>
        </w:rPr>
        <w:t xml:space="preserve">составил </w:t>
      </w:r>
      <w:r w:rsidR="00EB41A5" w:rsidRPr="009F6570">
        <w:rPr>
          <w:sz w:val="28"/>
          <w:szCs w:val="28"/>
        </w:rPr>
        <w:t>103</w:t>
      </w:r>
      <w:r w:rsidR="00E848F9" w:rsidRPr="009F6570">
        <w:rPr>
          <w:sz w:val="28"/>
          <w:szCs w:val="28"/>
        </w:rPr>
        <w:t>,</w:t>
      </w:r>
      <w:r w:rsidR="002F7299" w:rsidRPr="009F6570">
        <w:rPr>
          <w:sz w:val="28"/>
          <w:szCs w:val="28"/>
        </w:rPr>
        <w:t>9</w:t>
      </w:r>
      <w:r w:rsidR="00AD5FD5" w:rsidRPr="005911EA">
        <w:rPr>
          <w:sz w:val="28"/>
          <w:szCs w:val="28"/>
        </w:rPr>
        <w:t>%.</w:t>
      </w:r>
    </w:p>
    <w:p w:rsidR="00625B2F" w:rsidRDefault="00625B2F" w:rsidP="00AD0ECF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376B46" w:rsidRDefault="00376B46" w:rsidP="00913147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625B2F" w:rsidRDefault="007C641D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C64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редние</w:t>
      </w:r>
      <w:r w:rsidR="0013769F">
        <w:rPr>
          <w:b/>
          <w:sz w:val="28"/>
          <w:szCs w:val="28"/>
        </w:rPr>
        <w:t xml:space="preserve"> цены и индексы</w:t>
      </w:r>
      <w:r w:rsidR="00625B2F">
        <w:rPr>
          <w:b/>
          <w:sz w:val="28"/>
          <w:szCs w:val="28"/>
        </w:rPr>
        <w:t xml:space="preserve"> потребительских цен</w:t>
      </w:r>
      <w:r w:rsidR="00625B2F">
        <w:rPr>
          <w:b/>
          <w:sz w:val="28"/>
          <w:szCs w:val="28"/>
        </w:rPr>
        <w:br/>
        <w:t xml:space="preserve">на </w:t>
      </w:r>
      <w:proofErr w:type="gramStart"/>
      <w:r w:rsidR="00625B2F">
        <w:rPr>
          <w:b/>
          <w:sz w:val="28"/>
          <w:szCs w:val="28"/>
        </w:rPr>
        <w:t>бензин</w:t>
      </w:r>
      <w:proofErr w:type="gramEnd"/>
      <w:r w:rsidR="00625B2F">
        <w:rPr>
          <w:b/>
          <w:sz w:val="28"/>
          <w:szCs w:val="28"/>
        </w:rPr>
        <w:t xml:space="preserve"> и дизельное топливо</w:t>
      </w:r>
    </w:p>
    <w:p w:rsidR="004E48A9" w:rsidRDefault="004E48A9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5A2E" w:rsidRDefault="00425A2E" w:rsidP="00425A2E">
      <w:pPr>
        <w:pStyle w:val="a3"/>
        <w:spacing w:before="0" w:beforeAutospacing="0" w:after="0" w:afterAutospacing="0"/>
        <w:jc w:val="right"/>
        <w:rPr>
          <w:b/>
        </w:rPr>
      </w:pPr>
      <w:r>
        <w:t>на конец периода в процентах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715"/>
        <w:gridCol w:w="1276"/>
        <w:gridCol w:w="1275"/>
        <w:gridCol w:w="1134"/>
        <w:gridCol w:w="1134"/>
        <w:gridCol w:w="1134"/>
        <w:gridCol w:w="1276"/>
      </w:tblGrid>
      <w:tr w:rsidR="0013769F" w:rsidTr="007A1FDE">
        <w:trPr>
          <w:trHeight w:val="274"/>
          <w:tblCellSpacing w:w="2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9F" w:rsidRDefault="0013769F" w:rsidP="00EB0440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769F" w:rsidRPr="00531441" w:rsidRDefault="0013769F" w:rsidP="006834D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Средняя цена в </w:t>
            </w:r>
            <w:r w:rsidR="001671B3">
              <w:rPr>
                <w:iCs/>
              </w:rPr>
              <w:t>но</w:t>
            </w:r>
            <w:r w:rsidR="002368EF">
              <w:rPr>
                <w:iCs/>
              </w:rPr>
              <w:t>ябр</w:t>
            </w:r>
            <w:r>
              <w:rPr>
                <w:iCs/>
              </w:rPr>
              <w:t>е 2018г.</w:t>
            </w:r>
            <w:r w:rsidR="00531441">
              <w:rPr>
                <w:iCs/>
              </w:rPr>
              <w:t>,</w:t>
            </w:r>
          </w:p>
          <w:p w:rsidR="006834D5" w:rsidRDefault="006834D5" w:rsidP="006834D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рублей  за </w:t>
            </w:r>
            <w:proofErr w:type="gramStart"/>
            <w:r>
              <w:rPr>
                <w:iCs/>
              </w:rPr>
              <w:t>л</w:t>
            </w:r>
            <w:proofErr w:type="gramEnd"/>
          </w:p>
        </w:tc>
        <w:tc>
          <w:tcPr>
            <w:tcW w:w="3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69F" w:rsidRDefault="0013769F" w:rsidP="00EB0440">
            <w:pPr>
              <w:pStyle w:val="a3"/>
              <w:spacing w:before="0" w:beforeAutospacing="0" w:after="0" w:afterAutospacing="0"/>
              <w:jc w:val="center"/>
            </w:pPr>
            <w:r>
              <w:rPr>
                <w:iCs/>
              </w:rPr>
              <w:t>К предыдущему месяцу</w:t>
            </w:r>
          </w:p>
        </w:tc>
        <w:tc>
          <w:tcPr>
            <w:tcW w:w="23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769F" w:rsidRDefault="007A1FDE" w:rsidP="0012163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Ноя</w:t>
            </w:r>
            <w:r w:rsidR="002368EF">
              <w:rPr>
                <w:iCs/>
              </w:rPr>
              <w:t>бр</w:t>
            </w:r>
            <w:r w:rsidR="007C641D">
              <w:rPr>
                <w:iCs/>
              </w:rPr>
              <w:t>ь</w:t>
            </w:r>
            <w:r w:rsidR="0013769F">
              <w:rPr>
                <w:iCs/>
              </w:rPr>
              <w:t xml:space="preserve"> 2018г. </w:t>
            </w:r>
            <w:proofErr w:type="gramStart"/>
            <w:r w:rsidR="0013769F">
              <w:rPr>
                <w:iCs/>
              </w:rPr>
              <w:t>к</w:t>
            </w:r>
            <w:proofErr w:type="gramEnd"/>
          </w:p>
        </w:tc>
      </w:tr>
      <w:tr w:rsidR="007A1FDE" w:rsidTr="007A1FDE">
        <w:trPr>
          <w:tblCellSpacing w:w="20" w:type="dxa"/>
        </w:trPr>
        <w:tc>
          <w:tcPr>
            <w:tcW w:w="2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E" w:rsidRDefault="007A1FDE" w:rsidP="00EB0440"/>
        </w:tc>
        <w:tc>
          <w:tcPr>
            <w:tcW w:w="12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FDE" w:rsidRDefault="007A1FDE" w:rsidP="006834D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FDE" w:rsidRDefault="007A1FDE" w:rsidP="00146655">
            <w:pPr>
              <w:pStyle w:val="a3"/>
              <w:spacing w:before="0" w:beforeAutospacing="0" w:after="0" w:afterAutospacing="0"/>
              <w:jc w:val="center"/>
            </w:pPr>
            <w:r>
              <w:t>сентябрь 2018г.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FDE" w:rsidRDefault="007A1FDE" w:rsidP="00AD280B">
            <w:pPr>
              <w:pStyle w:val="a3"/>
              <w:spacing w:before="0" w:beforeAutospacing="0" w:after="0" w:afterAutospacing="0"/>
              <w:jc w:val="center"/>
            </w:pPr>
            <w:r>
              <w:t>октябрь 2018г.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FDE" w:rsidRDefault="007A1FDE" w:rsidP="0012163D">
            <w:pPr>
              <w:pStyle w:val="a3"/>
              <w:spacing w:before="0" w:beforeAutospacing="0" w:after="0" w:afterAutospacing="0"/>
              <w:jc w:val="center"/>
            </w:pPr>
            <w:r>
              <w:t>ноябрь 2018г.</w:t>
            </w:r>
          </w:p>
        </w:tc>
        <w:tc>
          <w:tcPr>
            <w:tcW w:w="10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FDE" w:rsidRDefault="007A1FDE" w:rsidP="0012163D">
            <w:pPr>
              <w:pStyle w:val="a3"/>
              <w:spacing w:before="0" w:beforeAutospacing="0" w:after="0" w:afterAutospacing="0"/>
              <w:jc w:val="center"/>
            </w:pPr>
            <w:r>
              <w:t>ноябрю</w:t>
            </w:r>
            <w:r>
              <w:br/>
              <w:t>2017г.</w:t>
            </w:r>
          </w:p>
        </w:tc>
        <w:tc>
          <w:tcPr>
            <w:tcW w:w="12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FDE" w:rsidRDefault="007A1FDE" w:rsidP="008F71B3">
            <w:pPr>
              <w:pStyle w:val="a3"/>
              <w:spacing w:before="0" w:beforeAutospacing="0" w:after="0" w:afterAutospacing="0"/>
              <w:jc w:val="center"/>
            </w:pPr>
            <w:r>
              <w:t>декабрю 2017г.</w:t>
            </w:r>
          </w:p>
        </w:tc>
      </w:tr>
      <w:tr w:rsidR="00065612" w:rsidRPr="009F6570" w:rsidTr="007A1FDE">
        <w:trPr>
          <w:trHeight w:val="556"/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65612" w:rsidRPr="00EF1FC5" w:rsidRDefault="00065612" w:rsidP="006834D5">
            <w:pPr>
              <w:pStyle w:val="a3"/>
              <w:spacing w:before="0" w:beforeAutospacing="0" w:after="0" w:afterAutospacing="0"/>
              <w:ind w:right="-113"/>
            </w:pPr>
            <w:r>
              <w:br/>
              <w:t>Б</w:t>
            </w:r>
            <w:r w:rsidRPr="00EF1FC5">
              <w:t>ензин автомобильный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48,96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BA29A0">
            <w:pPr>
              <w:pStyle w:val="a3"/>
              <w:spacing w:before="0" w:beforeAutospacing="0" w:after="0" w:afterAutospacing="0"/>
              <w:jc w:val="right"/>
            </w:pPr>
            <w:r w:rsidRPr="009F6570">
              <w:t>10</w:t>
            </w:r>
            <w:r w:rsidR="00BA29A0">
              <w:t>0</w:t>
            </w:r>
            <w:r w:rsidRPr="009F6570">
              <w:t>,</w:t>
            </w:r>
            <w:r w:rsidR="00BA29A0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BA29A0">
            <w:pPr>
              <w:pStyle w:val="a3"/>
              <w:spacing w:before="0" w:beforeAutospacing="0" w:after="0" w:afterAutospacing="0"/>
              <w:jc w:val="right"/>
            </w:pPr>
            <w:r w:rsidRPr="009F6570">
              <w:t>100,</w:t>
            </w:r>
            <w:r w:rsidR="00BA29A0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  <w:rPr>
                <w:color w:val="000000"/>
              </w:rPr>
            </w:pPr>
            <w:r w:rsidRPr="009F6570">
              <w:rPr>
                <w:color w:val="000000"/>
              </w:rPr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105,2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103,9</w:t>
            </w:r>
          </w:p>
        </w:tc>
      </w:tr>
      <w:tr w:rsidR="00065612" w:rsidRPr="009F6570" w:rsidTr="007A1FDE">
        <w:trPr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Default="00065612" w:rsidP="00EB0440">
            <w:pPr>
              <w:pStyle w:val="a3"/>
              <w:ind w:left="454"/>
            </w:pPr>
            <w:r>
              <w:t>в том числе: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r w:rsidRPr="009F6570"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3F6E83">
            <w:pPr>
              <w:pStyle w:val="a3"/>
              <w:spacing w:before="0" w:beforeAutospacing="0" w:after="0" w:afterAutospacing="0"/>
              <w:jc w:val="right"/>
              <w:rPr>
                <w:color w:val="00B050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3F6E83">
            <w:pPr>
              <w:pStyle w:val="a3"/>
              <w:spacing w:before="0" w:beforeAutospacing="0" w:after="0" w:afterAutospacing="0"/>
              <w:jc w:val="right"/>
              <w:rPr>
                <w:color w:val="00B050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rPr>
                <w:color w:val="000000"/>
              </w:rPr>
            </w:pPr>
            <w:r w:rsidRPr="009F6570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r w:rsidRPr="009F6570"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r w:rsidRPr="009F6570">
              <w:t> </w:t>
            </w:r>
          </w:p>
        </w:tc>
      </w:tr>
      <w:tr w:rsidR="00065612" w:rsidRPr="009F6570" w:rsidTr="007A1FDE">
        <w:trPr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Default="00065612" w:rsidP="00EB0440">
            <w:pPr>
              <w:pStyle w:val="a3"/>
              <w:ind w:left="113"/>
            </w:pPr>
            <w:r>
              <w:t>марки АИ-92 (АИ-93 и т.п.)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48,10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2E4378">
            <w:pPr>
              <w:pStyle w:val="a3"/>
              <w:spacing w:before="0" w:beforeAutospacing="0" w:after="0" w:afterAutospacing="0"/>
              <w:jc w:val="right"/>
            </w:pPr>
            <w:r w:rsidRPr="009F6570">
              <w:t>10</w:t>
            </w:r>
            <w:r w:rsidR="002E4378">
              <w:t>0</w:t>
            </w:r>
            <w:r w:rsidRPr="009F6570">
              <w:t>,</w:t>
            </w:r>
            <w:r w:rsidR="002E4378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3F6E83">
            <w:pPr>
              <w:pStyle w:val="a3"/>
              <w:spacing w:before="0" w:beforeAutospacing="0" w:after="0" w:afterAutospacing="0"/>
              <w:jc w:val="right"/>
            </w:pPr>
            <w:r w:rsidRPr="009F6570"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>
            <w:pPr>
              <w:jc w:val="right"/>
              <w:rPr>
                <w:color w:val="000000"/>
              </w:rPr>
            </w:pPr>
            <w:r w:rsidRPr="009F6570">
              <w:rPr>
                <w:color w:val="000000"/>
              </w:rPr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105,2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103,8</w:t>
            </w:r>
          </w:p>
        </w:tc>
      </w:tr>
      <w:tr w:rsidR="00065612" w:rsidRPr="009F6570" w:rsidTr="007A1FDE">
        <w:trPr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Default="00065612" w:rsidP="00EB0440">
            <w:pPr>
              <w:pStyle w:val="a3"/>
              <w:ind w:left="113"/>
            </w:pPr>
            <w:r>
              <w:t>марки АИ-95 и выше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rPr>
                <w:lang w:val="en-US"/>
              </w:rPr>
              <w:t>49,90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2E4378">
            <w:pPr>
              <w:pStyle w:val="a3"/>
              <w:jc w:val="right"/>
            </w:pPr>
            <w:r w:rsidRPr="009F6570">
              <w:t>10</w:t>
            </w:r>
            <w:r w:rsidR="002E4378">
              <w:t>0</w:t>
            </w:r>
            <w:r w:rsidRPr="009F6570">
              <w:t>,</w:t>
            </w:r>
            <w:r w:rsidR="002E4378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3F6E83">
            <w:pPr>
              <w:pStyle w:val="a3"/>
              <w:jc w:val="right"/>
            </w:pPr>
            <w:r w:rsidRPr="009F6570"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>
            <w:pPr>
              <w:jc w:val="right"/>
              <w:rPr>
                <w:color w:val="000000"/>
              </w:rPr>
            </w:pPr>
            <w:r w:rsidRPr="009F6570">
              <w:rPr>
                <w:color w:val="000000"/>
              </w:rPr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105,5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104,1</w:t>
            </w:r>
          </w:p>
        </w:tc>
      </w:tr>
      <w:tr w:rsidR="00065612" w:rsidRPr="009F6570" w:rsidTr="007A1FDE">
        <w:trPr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Default="00065612" w:rsidP="00EB0440">
            <w:pPr>
              <w:pStyle w:val="a3"/>
              <w:ind w:left="113"/>
            </w:pPr>
            <w:r>
              <w:t>марки АИ-98 и выше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52,39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2E4378">
            <w:pPr>
              <w:pStyle w:val="a3"/>
              <w:spacing w:before="0" w:beforeAutospacing="0" w:after="0" w:afterAutospacing="0"/>
              <w:jc w:val="right"/>
            </w:pPr>
            <w:r w:rsidRPr="009F6570">
              <w:t>10</w:t>
            </w:r>
            <w:r w:rsidR="002E4378">
              <w:t>0</w:t>
            </w:r>
            <w:r w:rsidRPr="009F6570">
              <w:t>,</w:t>
            </w:r>
            <w:r w:rsidR="002E4378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2E4378">
            <w:pPr>
              <w:pStyle w:val="a3"/>
              <w:spacing w:before="0" w:beforeAutospacing="0" w:after="0" w:afterAutospacing="0"/>
              <w:jc w:val="right"/>
            </w:pPr>
            <w:r w:rsidRPr="009F6570">
              <w:t>10</w:t>
            </w:r>
            <w:r w:rsidR="002E4378">
              <w:t>0</w:t>
            </w:r>
            <w:r w:rsidRPr="009F6570">
              <w:t>,</w:t>
            </w:r>
            <w:r w:rsidR="002E4378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>
            <w:pPr>
              <w:jc w:val="right"/>
              <w:rPr>
                <w:color w:val="000000"/>
              </w:rPr>
            </w:pPr>
            <w:r w:rsidRPr="009F6570">
              <w:rPr>
                <w:color w:val="000000"/>
              </w:rPr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105,3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jc w:val="right"/>
            </w:pPr>
            <w:r w:rsidRPr="009F6570">
              <w:t>104,0</w:t>
            </w:r>
          </w:p>
        </w:tc>
      </w:tr>
      <w:tr w:rsidR="00065612" w:rsidRPr="009F6570" w:rsidTr="007A1FDE">
        <w:trPr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Default="00065612" w:rsidP="00EB0440">
            <w:pPr>
              <w:pStyle w:val="a3"/>
            </w:pPr>
            <w:r>
              <w:t>Дизельное топливо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1671B3" w:rsidRDefault="00065612" w:rsidP="001671B3">
            <w:pPr>
              <w:jc w:val="right"/>
            </w:pPr>
            <w:r w:rsidRPr="009F6570">
              <w:rPr>
                <w:lang w:val="en-US"/>
              </w:rPr>
              <w:t>5</w:t>
            </w:r>
            <w:r w:rsidR="001671B3">
              <w:t>4</w:t>
            </w:r>
            <w:r w:rsidRPr="009F6570">
              <w:rPr>
                <w:lang w:val="en-US"/>
              </w:rPr>
              <w:t>,</w:t>
            </w:r>
            <w:r w:rsidR="001671B3">
              <w:t>11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2E4378">
            <w:pPr>
              <w:pStyle w:val="a3"/>
              <w:spacing w:before="0" w:beforeAutospacing="0" w:after="0" w:afterAutospacing="0"/>
              <w:jc w:val="right"/>
            </w:pPr>
            <w:r w:rsidRPr="009F6570">
              <w:t>10</w:t>
            </w:r>
            <w:r w:rsidR="002E4378">
              <w:t>0</w:t>
            </w:r>
            <w:r w:rsidRPr="009F6570">
              <w:t>,</w:t>
            </w:r>
            <w:r w:rsidR="002E4378">
              <w:t>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3F6E83">
            <w:pPr>
              <w:pStyle w:val="a3"/>
              <w:spacing w:before="0" w:beforeAutospacing="0" w:after="0" w:afterAutospacing="0"/>
              <w:jc w:val="right"/>
            </w:pPr>
            <w:r w:rsidRPr="009F6570">
              <w:t>100,0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9F6570" w:rsidRDefault="00065612" w:rsidP="007A2659">
            <w:pPr>
              <w:jc w:val="right"/>
              <w:rPr>
                <w:color w:val="000000"/>
              </w:rPr>
            </w:pPr>
            <w:r w:rsidRPr="009F6570">
              <w:rPr>
                <w:color w:val="000000"/>
              </w:rPr>
              <w:t>10</w:t>
            </w:r>
            <w:r w:rsidR="007A2659">
              <w:rPr>
                <w:color w:val="000000"/>
              </w:rPr>
              <w:t>2</w:t>
            </w:r>
            <w:r w:rsidRPr="009F6570">
              <w:rPr>
                <w:color w:val="000000"/>
              </w:rPr>
              <w:t>,</w:t>
            </w:r>
            <w:r w:rsidR="007A2659">
              <w:rPr>
                <w:color w:val="000000"/>
              </w:rPr>
              <w:t>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7A2659">
            <w:pPr>
              <w:jc w:val="right"/>
            </w:pPr>
            <w:r w:rsidRPr="009F6570">
              <w:t>11</w:t>
            </w:r>
            <w:r w:rsidR="007A2659">
              <w:t>0</w:t>
            </w:r>
            <w:r w:rsidRPr="009F6570">
              <w:t>,</w:t>
            </w:r>
            <w:r w:rsidR="007A2659">
              <w:t>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7A2659">
            <w:pPr>
              <w:jc w:val="right"/>
            </w:pPr>
            <w:r w:rsidRPr="009F6570">
              <w:t>10</w:t>
            </w:r>
            <w:r w:rsidR="007A2659">
              <w:t>7</w:t>
            </w:r>
            <w:r w:rsidRPr="009F6570">
              <w:t>,</w:t>
            </w:r>
            <w:r w:rsidR="007A2659">
              <w:t>6</w:t>
            </w:r>
          </w:p>
        </w:tc>
      </w:tr>
      <w:tr w:rsidR="00065612" w:rsidRPr="009F6570" w:rsidTr="007A1FDE">
        <w:trPr>
          <w:trHeight w:val="430"/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612" w:rsidRPr="00B473B3" w:rsidRDefault="00065612" w:rsidP="00EB0440">
            <w:pPr>
              <w:pStyle w:val="a3"/>
              <w:rPr>
                <w:u w:val="single"/>
              </w:rPr>
            </w:pPr>
            <w:proofErr w:type="spellStart"/>
            <w:r w:rsidRPr="00B473B3">
              <w:rPr>
                <w:u w:val="single"/>
              </w:rPr>
              <w:t>Справочно</w:t>
            </w:r>
            <w:proofErr w:type="spellEnd"/>
            <w:r w:rsidRPr="00B473B3">
              <w:rPr>
                <w:u w:val="single"/>
              </w:rPr>
              <w:t>: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4E659C" w:rsidRDefault="00065612" w:rsidP="00502977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3F6E83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 w:rsidP="003F6E83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pPr>
              <w:rPr>
                <w:color w:val="000000"/>
              </w:rPr>
            </w:pPr>
            <w:r w:rsidRPr="009F6570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r w:rsidRPr="009F6570"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65612" w:rsidRPr="009F6570" w:rsidRDefault="00065612">
            <w:r w:rsidRPr="009F6570">
              <w:t> </w:t>
            </w:r>
          </w:p>
        </w:tc>
      </w:tr>
      <w:tr w:rsidR="006A0180" w:rsidRPr="009F6570" w:rsidTr="007A1FDE">
        <w:trPr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0180" w:rsidRPr="00B473B3" w:rsidRDefault="006A0180" w:rsidP="00EB0440">
            <w:pPr>
              <w:pStyle w:val="a3"/>
            </w:pPr>
            <w:r w:rsidRPr="00B473B3">
              <w:t>Индекс потребительских цен на товары и услуги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0180" w:rsidRPr="009F6570" w:rsidRDefault="006A0180" w:rsidP="00502977">
            <w:pPr>
              <w:pStyle w:val="a3"/>
              <w:spacing w:before="0" w:beforeAutospacing="0" w:after="0" w:afterAutospacing="0"/>
              <w:jc w:val="right"/>
              <w:rPr>
                <w:lang w:val="en-US"/>
              </w:rPr>
            </w:pPr>
            <w:r w:rsidRPr="009F6570">
              <w:rPr>
                <w:lang w:val="en-US"/>
              </w:rPr>
              <w:t>x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0180" w:rsidRPr="009F6570" w:rsidRDefault="006A0180" w:rsidP="007A1FDE">
            <w:pPr>
              <w:pStyle w:val="a3"/>
              <w:spacing w:before="0" w:beforeAutospacing="0" w:after="0" w:afterAutospacing="0"/>
              <w:jc w:val="right"/>
            </w:pPr>
            <w:r w:rsidRPr="009F6570">
              <w:t>100,</w:t>
            </w:r>
            <w:r w:rsidR="007A1FDE">
              <w:t>7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0180" w:rsidRPr="009F6570" w:rsidRDefault="006A0180" w:rsidP="007A1FDE">
            <w:pPr>
              <w:pStyle w:val="a3"/>
              <w:spacing w:before="0" w:beforeAutospacing="0" w:after="0" w:afterAutospacing="0"/>
              <w:jc w:val="right"/>
            </w:pPr>
            <w:r w:rsidRPr="009F6570">
              <w:t>100,</w:t>
            </w:r>
            <w:r w:rsidR="007A1FDE">
              <w:t>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0180" w:rsidRPr="009F6570" w:rsidRDefault="006A0180" w:rsidP="007A2659">
            <w:pPr>
              <w:jc w:val="right"/>
              <w:rPr>
                <w:color w:val="000000"/>
              </w:rPr>
            </w:pPr>
            <w:r w:rsidRPr="009F6570">
              <w:rPr>
                <w:color w:val="000000"/>
              </w:rPr>
              <w:t>100,</w:t>
            </w:r>
            <w:r w:rsidR="007A2659">
              <w:rPr>
                <w:color w:val="000000"/>
              </w:rPr>
              <w:t>3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0180" w:rsidRPr="009F6570" w:rsidRDefault="006A0180" w:rsidP="007A2659">
            <w:pPr>
              <w:jc w:val="right"/>
            </w:pPr>
            <w:r w:rsidRPr="009F6570">
              <w:t>10</w:t>
            </w:r>
            <w:r w:rsidR="00F97699">
              <w:t>3</w:t>
            </w:r>
            <w:r w:rsidRPr="009F6570">
              <w:t>,</w:t>
            </w:r>
            <w:r w:rsidR="007A2659">
              <w:t>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0180" w:rsidRPr="009F6570" w:rsidRDefault="006A0180" w:rsidP="007A2659">
            <w:pPr>
              <w:jc w:val="right"/>
            </w:pPr>
            <w:r w:rsidRPr="009F6570">
              <w:t>10</w:t>
            </w:r>
            <w:r>
              <w:t>2</w:t>
            </w:r>
            <w:r w:rsidRPr="009F6570">
              <w:t>,</w:t>
            </w:r>
            <w:r w:rsidR="007A2659">
              <w:t>9</w:t>
            </w:r>
          </w:p>
        </w:tc>
      </w:tr>
    </w:tbl>
    <w:p w:rsidR="00425A2E" w:rsidRDefault="00425A2E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76DF" w:rsidRDefault="005976DF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7F73" w:rsidRDefault="001D7F73" w:rsidP="001D7F73">
      <w:pPr>
        <w:pStyle w:val="a3"/>
        <w:spacing w:before="0" w:beforeAutospacing="0" w:after="0" w:afterAutospacing="0"/>
        <w:jc w:val="center"/>
        <w:rPr>
          <w:b/>
        </w:rPr>
      </w:pPr>
    </w:p>
    <w:p w:rsidR="00286EDD" w:rsidRDefault="00286EDD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7F73" w:rsidRDefault="001D7F73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7F73" w:rsidRDefault="001D7F73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7F73" w:rsidRDefault="001D7F73" w:rsidP="00E36447">
      <w:pPr>
        <w:pStyle w:val="a3"/>
        <w:tabs>
          <w:tab w:val="left" w:pos="878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1759" w:rsidRDefault="00C41759">
      <w:pPr>
        <w:pStyle w:val="a3"/>
        <w:spacing w:before="0" w:beforeAutospacing="0" w:after="0" w:afterAutospacing="0"/>
        <w:jc w:val="center"/>
        <w:rPr>
          <w:b/>
        </w:rPr>
      </w:pPr>
    </w:p>
    <w:p w:rsidR="00C41759" w:rsidRDefault="00C41759">
      <w:pPr>
        <w:pStyle w:val="a3"/>
        <w:spacing w:before="0" w:beforeAutospacing="0" w:after="0" w:afterAutospacing="0"/>
        <w:jc w:val="center"/>
        <w:rPr>
          <w:b/>
        </w:rPr>
      </w:pPr>
    </w:p>
    <w:p w:rsidR="00C41759" w:rsidRDefault="00C41759">
      <w:pPr>
        <w:pStyle w:val="a3"/>
        <w:spacing w:before="0" w:beforeAutospacing="0" w:after="0" w:afterAutospacing="0"/>
        <w:jc w:val="center"/>
        <w:rPr>
          <w:b/>
        </w:rPr>
      </w:pPr>
    </w:p>
    <w:p w:rsidR="00376B46" w:rsidRDefault="00376B46">
      <w:pPr>
        <w:pStyle w:val="a3"/>
        <w:spacing w:before="0" w:beforeAutospacing="0" w:after="0" w:afterAutospacing="0"/>
        <w:jc w:val="center"/>
      </w:pPr>
    </w:p>
    <w:p w:rsidR="00C41759" w:rsidRDefault="00C41759">
      <w:pPr>
        <w:pStyle w:val="a3"/>
        <w:spacing w:before="0" w:beforeAutospacing="0" w:after="0" w:afterAutospacing="0"/>
        <w:jc w:val="center"/>
      </w:pPr>
    </w:p>
    <w:p w:rsidR="00C41759" w:rsidRDefault="00C41759">
      <w:pPr>
        <w:pStyle w:val="a3"/>
        <w:spacing w:before="0" w:beforeAutospacing="0" w:after="0" w:afterAutospacing="0"/>
        <w:jc w:val="center"/>
      </w:pPr>
    </w:p>
    <w:p w:rsidR="00C41759" w:rsidRDefault="00C41759" w:rsidP="00020B79">
      <w:pPr>
        <w:pStyle w:val="a3"/>
        <w:tabs>
          <w:tab w:val="left" w:pos="3544"/>
        </w:tabs>
        <w:spacing w:before="0" w:beforeAutospacing="0" w:after="0" w:afterAutospacing="0"/>
        <w:jc w:val="center"/>
      </w:pPr>
    </w:p>
    <w:p w:rsidR="00C41759" w:rsidRDefault="00C41759">
      <w:pPr>
        <w:pStyle w:val="a3"/>
        <w:spacing w:before="0" w:beforeAutospacing="0" w:after="0" w:afterAutospacing="0"/>
        <w:jc w:val="center"/>
      </w:pPr>
    </w:p>
    <w:p w:rsidR="00C41759" w:rsidRDefault="00C41759">
      <w:pPr>
        <w:pStyle w:val="a3"/>
        <w:spacing w:before="0" w:beforeAutospacing="0" w:after="0" w:afterAutospacing="0"/>
        <w:jc w:val="center"/>
      </w:pPr>
    </w:p>
    <w:p w:rsidR="00C41759" w:rsidRDefault="00C41759">
      <w:pPr>
        <w:pStyle w:val="a3"/>
        <w:spacing w:before="0" w:beforeAutospacing="0" w:after="0" w:afterAutospacing="0"/>
        <w:jc w:val="center"/>
      </w:pPr>
    </w:p>
    <w:p w:rsidR="00376B46" w:rsidRDefault="00376B46">
      <w:pPr>
        <w:pStyle w:val="a3"/>
        <w:spacing w:before="0" w:beforeAutospacing="0" w:after="0" w:afterAutospacing="0"/>
        <w:jc w:val="center"/>
      </w:pPr>
    </w:p>
    <w:p w:rsidR="00142E95" w:rsidRDefault="00142E95" w:rsidP="00142E95">
      <w:pPr>
        <w:pStyle w:val="a3"/>
        <w:spacing w:before="0" w:beforeAutospacing="0" w:after="0" w:afterAutospacing="0"/>
        <w:jc w:val="center"/>
      </w:pPr>
    </w:p>
    <w:p w:rsidR="00142E95" w:rsidRDefault="00142E95" w:rsidP="00142E95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sz w:val="28"/>
          <w:szCs w:val="28"/>
        </w:rPr>
        <w:t>Индекс потребительских цен на товары и услуги</w:t>
      </w:r>
      <w:r>
        <w:rPr>
          <w:b/>
          <w:sz w:val="28"/>
          <w:szCs w:val="28"/>
        </w:rPr>
        <w:br/>
        <w:t xml:space="preserve">и изменение потребительских цен на бензин </w:t>
      </w:r>
      <w:r>
        <w:rPr>
          <w:b/>
          <w:sz w:val="28"/>
          <w:szCs w:val="28"/>
        </w:rPr>
        <w:br/>
        <w:t>автомобильный и дизельное топливо</w:t>
      </w:r>
      <w:r>
        <w:rPr>
          <w:b/>
          <w:sz w:val="28"/>
          <w:szCs w:val="28"/>
        </w:rPr>
        <w:br/>
      </w:r>
      <w:r>
        <w:t>на конец периода, в процентах к декабрю 201</w:t>
      </w:r>
      <w:r w:rsidR="00A7667E">
        <w:rPr>
          <w:lang w:val="en-US"/>
        </w:rPr>
        <w:t>6</w:t>
      </w:r>
      <w:r>
        <w:t>г.</w:t>
      </w:r>
    </w:p>
    <w:p w:rsidR="00142E95" w:rsidRDefault="00142E95" w:rsidP="00142E95">
      <w:pPr>
        <w:pStyle w:val="a3"/>
        <w:spacing w:before="0" w:beforeAutospacing="0" w:after="0" w:afterAutospacing="0"/>
        <w:jc w:val="center"/>
      </w:pPr>
    </w:p>
    <w:p w:rsidR="00142E95" w:rsidRDefault="00142E95" w:rsidP="00142E95">
      <w:pPr>
        <w:pStyle w:val="a3"/>
        <w:spacing w:before="0" w:beforeAutospacing="0" w:after="0" w:afterAutospacing="0"/>
        <w:jc w:val="center"/>
      </w:pPr>
      <w:r w:rsidRPr="00BF14C0">
        <w:rPr>
          <w:noProof/>
        </w:rPr>
        <w:drawing>
          <wp:inline distT="0" distB="0" distL="0" distR="0">
            <wp:extent cx="6120130" cy="2689609"/>
            <wp:effectExtent l="0" t="0" r="0" b="0"/>
            <wp:docPr id="1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6E18" w:rsidRDefault="00046E18" w:rsidP="00046E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E18" w:rsidRPr="00046E18" w:rsidRDefault="00046E18" w:rsidP="00046E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E18" w:rsidRDefault="00046E18" w:rsidP="00046E18">
      <w:pPr>
        <w:pStyle w:val="a3"/>
        <w:spacing w:before="0" w:beforeAutospacing="0" w:after="0" w:afterAutospacing="0"/>
        <w:jc w:val="center"/>
      </w:pPr>
    </w:p>
    <w:p w:rsidR="00046E18" w:rsidRDefault="00046E18" w:rsidP="00046E18">
      <w:pPr>
        <w:pStyle w:val="a3"/>
        <w:spacing w:before="0" w:beforeAutospacing="0" w:after="0" w:afterAutospacing="0"/>
        <w:jc w:val="center"/>
      </w:pPr>
    </w:p>
    <w:p w:rsidR="00BF14C0" w:rsidRDefault="00BF14C0">
      <w:pPr>
        <w:pStyle w:val="a3"/>
        <w:spacing w:before="0" w:beforeAutospacing="0" w:after="0" w:afterAutospacing="0"/>
        <w:jc w:val="center"/>
      </w:pPr>
    </w:p>
    <w:p w:rsidR="00BF14C0" w:rsidRDefault="00BF14C0">
      <w:pPr>
        <w:pStyle w:val="a3"/>
        <w:spacing w:before="0" w:beforeAutospacing="0" w:after="0" w:afterAutospacing="0"/>
        <w:jc w:val="center"/>
      </w:pPr>
    </w:p>
    <w:p w:rsidR="00BF14C0" w:rsidRDefault="00BF14C0">
      <w:pPr>
        <w:pStyle w:val="a3"/>
        <w:spacing w:before="0" w:beforeAutospacing="0" w:after="0" w:afterAutospacing="0"/>
        <w:jc w:val="center"/>
      </w:pPr>
    </w:p>
    <w:p w:rsidR="00BF14C0" w:rsidRDefault="00BF14C0">
      <w:pPr>
        <w:pStyle w:val="a3"/>
        <w:spacing w:before="0" w:beforeAutospacing="0" w:after="0" w:afterAutospacing="0"/>
        <w:jc w:val="center"/>
      </w:pPr>
    </w:p>
    <w:p w:rsidR="00BF14C0" w:rsidRDefault="00BF14C0">
      <w:pPr>
        <w:pStyle w:val="a3"/>
        <w:spacing w:before="0" w:beforeAutospacing="0" w:after="0" w:afterAutospacing="0"/>
        <w:jc w:val="center"/>
      </w:pPr>
    </w:p>
    <w:p w:rsidR="00BF14C0" w:rsidRDefault="00BF14C0">
      <w:pPr>
        <w:pStyle w:val="a3"/>
        <w:spacing w:before="0" w:beforeAutospacing="0" w:after="0" w:afterAutospacing="0"/>
        <w:jc w:val="center"/>
      </w:pPr>
    </w:p>
    <w:p w:rsidR="00BF14C0" w:rsidRPr="00BF14C0" w:rsidRDefault="00BF14C0">
      <w:pPr>
        <w:pStyle w:val="a3"/>
        <w:spacing w:before="0" w:beforeAutospacing="0" w:after="0" w:afterAutospacing="0"/>
        <w:jc w:val="center"/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652AEA" w:rsidRDefault="00652AEA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7C47CE" w:rsidRDefault="007C47CE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25B2F" w:rsidRDefault="00625B2F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</w:p>
    <w:p w:rsidR="00625B2F" w:rsidRDefault="00625B2F">
      <w:pPr>
        <w:pStyle w:val="a3"/>
        <w:spacing w:before="0" w:beforeAutospacing="0" w:after="0" w:afterAutospacing="0"/>
        <w:jc w:val="right"/>
      </w:pPr>
      <w:r>
        <w:t>государственной статистики по Камчатскому краю</w:t>
      </w:r>
    </w:p>
    <w:p w:rsidR="00625B2F" w:rsidRDefault="00625B2F">
      <w:pPr>
        <w:pStyle w:val="a5"/>
        <w:ind w:right="-110" w:firstLine="0"/>
        <w:jc w:val="left"/>
        <w:rPr>
          <w:rFonts w:ascii="Times New Roman" w:hAnsi="Times New Roman"/>
        </w:rPr>
      </w:pPr>
    </w:p>
    <w:p w:rsidR="00376B46" w:rsidRDefault="00376B46">
      <w:pPr>
        <w:pStyle w:val="a5"/>
        <w:ind w:right="-110" w:firstLine="0"/>
        <w:jc w:val="left"/>
        <w:rPr>
          <w:rFonts w:ascii="Times New Roman" w:hAnsi="Times New Roman"/>
        </w:rPr>
      </w:pPr>
    </w:p>
    <w:sectPr w:rsidR="00376B46" w:rsidSect="001376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5B2F"/>
    <w:rsid w:val="0000413E"/>
    <w:rsid w:val="000054C7"/>
    <w:rsid w:val="000117AE"/>
    <w:rsid w:val="00012490"/>
    <w:rsid w:val="00020B79"/>
    <w:rsid w:val="00035CE5"/>
    <w:rsid w:val="000366FA"/>
    <w:rsid w:val="0004007E"/>
    <w:rsid w:val="00040087"/>
    <w:rsid w:val="00046E18"/>
    <w:rsid w:val="00065612"/>
    <w:rsid w:val="00065ED3"/>
    <w:rsid w:val="000715D0"/>
    <w:rsid w:val="0007293D"/>
    <w:rsid w:val="00072BFA"/>
    <w:rsid w:val="00081696"/>
    <w:rsid w:val="00082830"/>
    <w:rsid w:val="00084329"/>
    <w:rsid w:val="00087151"/>
    <w:rsid w:val="00090292"/>
    <w:rsid w:val="00092153"/>
    <w:rsid w:val="000C0021"/>
    <w:rsid w:val="000D011D"/>
    <w:rsid w:val="000E125F"/>
    <w:rsid w:val="000E4E49"/>
    <w:rsid w:val="000E519B"/>
    <w:rsid w:val="000F0270"/>
    <w:rsid w:val="00101B67"/>
    <w:rsid w:val="00102304"/>
    <w:rsid w:val="001026CE"/>
    <w:rsid w:val="00102870"/>
    <w:rsid w:val="00111358"/>
    <w:rsid w:val="001113DD"/>
    <w:rsid w:val="0011577A"/>
    <w:rsid w:val="001175AE"/>
    <w:rsid w:val="0012163D"/>
    <w:rsid w:val="0012226D"/>
    <w:rsid w:val="00131982"/>
    <w:rsid w:val="00136EFB"/>
    <w:rsid w:val="0013769F"/>
    <w:rsid w:val="001405F1"/>
    <w:rsid w:val="00140FFD"/>
    <w:rsid w:val="00142E95"/>
    <w:rsid w:val="00144C7C"/>
    <w:rsid w:val="00151806"/>
    <w:rsid w:val="00157A87"/>
    <w:rsid w:val="001663DA"/>
    <w:rsid w:val="001671B3"/>
    <w:rsid w:val="001726FB"/>
    <w:rsid w:val="00190F2C"/>
    <w:rsid w:val="001963D8"/>
    <w:rsid w:val="001A3FEA"/>
    <w:rsid w:val="001A6E33"/>
    <w:rsid w:val="001B170A"/>
    <w:rsid w:val="001B50C9"/>
    <w:rsid w:val="001D02FF"/>
    <w:rsid w:val="001D6D99"/>
    <w:rsid w:val="001D7F73"/>
    <w:rsid w:val="001E3745"/>
    <w:rsid w:val="001F1CAE"/>
    <w:rsid w:val="001F4537"/>
    <w:rsid w:val="00201206"/>
    <w:rsid w:val="0020624D"/>
    <w:rsid w:val="002202A3"/>
    <w:rsid w:val="002318D3"/>
    <w:rsid w:val="002318E4"/>
    <w:rsid w:val="002368EF"/>
    <w:rsid w:val="0024182A"/>
    <w:rsid w:val="00251CCF"/>
    <w:rsid w:val="0026074F"/>
    <w:rsid w:val="00262713"/>
    <w:rsid w:val="00266FDD"/>
    <w:rsid w:val="0026759E"/>
    <w:rsid w:val="002761EC"/>
    <w:rsid w:val="00276F22"/>
    <w:rsid w:val="0028033C"/>
    <w:rsid w:val="00283585"/>
    <w:rsid w:val="00286EDD"/>
    <w:rsid w:val="002A1757"/>
    <w:rsid w:val="002A4BB2"/>
    <w:rsid w:val="002A6C5B"/>
    <w:rsid w:val="002A7437"/>
    <w:rsid w:val="002B0935"/>
    <w:rsid w:val="002B1327"/>
    <w:rsid w:val="002B1653"/>
    <w:rsid w:val="002B6468"/>
    <w:rsid w:val="002C36C1"/>
    <w:rsid w:val="002C791A"/>
    <w:rsid w:val="002D577A"/>
    <w:rsid w:val="002D6567"/>
    <w:rsid w:val="002E329D"/>
    <w:rsid w:val="002E4378"/>
    <w:rsid w:val="002E7DAF"/>
    <w:rsid w:val="002F6B36"/>
    <w:rsid w:val="002F7299"/>
    <w:rsid w:val="003059AE"/>
    <w:rsid w:val="00310EEF"/>
    <w:rsid w:val="00317A2A"/>
    <w:rsid w:val="003230E9"/>
    <w:rsid w:val="00323D4F"/>
    <w:rsid w:val="0033078F"/>
    <w:rsid w:val="003377BF"/>
    <w:rsid w:val="00341118"/>
    <w:rsid w:val="003414EE"/>
    <w:rsid w:val="00342A59"/>
    <w:rsid w:val="00344245"/>
    <w:rsid w:val="00353495"/>
    <w:rsid w:val="003541BD"/>
    <w:rsid w:val="00360D2B"/>
    <w:rsid w:val="00367047"/>
    <w:rsid w:val="00374DB0"/>
    <w:rsid w:val="00375878"/>
    <w:rsid w:val="00376B46"/>
    <w:rsid w:val="00381561"/>
    <w:rsid w:val="003A15F2"/>
    <w:rsid w:val="003A18F5"/>
    <w:rsid w:val="003A3675"/>
    <w:rsid w:val="003B0265"/>
    <w:rsid w:val="003B0D0F"/>
    <w:rsid w:val="003B6BFA"/>
    <w:rsid w:val="003C7A07"/>
    <w:rsid w:val="003D34C4"/>
    <w:rsid w:val="003D3B8F"/>
    <w:rsid w:val="003E0DDD"/>
    <w:rsid w:val="003F0511"/>
    <w:rsid w:val="003F1D9A"/>
    <w:rsid w:val="003F3BE1"/>
    <w:rsid w:val="003F69AD"/>
    <w:rsid w:val="004058DC"/>
    <w:rsid w:val="00414D79"/>
    <w:rsid w:val="00425A2E"/>
    <w:rsid w:val="0043227C"/>
    <w:rsid w:val="00434786"/>
    <w:rsid w:val="00434F92"/>
    <w:rsid w:val="00437C9D"/>
    <w:rsid w:val="004418A6"/>
    <w:rsid w:val="00442ECD"/>
    <w:rsid w:val="00443330"/>
    <w:rsid w:val="00445E96"/>
    <w:rsid w:val="004630C3"/>
    <w:rsid w:val="0046538C"/>
    <w:rsid w:val="0047408A"/>
    <w:rsid w:val="00487A0E"/>
    <w:rsid w:val="004A174D"/>
    <w:rsid w:val="004A2A29"/>
    <w:rsid w:val="004A2E86"/>
    <w:rsid w:val="004A46C0"/>
    <w:rsid w:val="004A57A4"/>
    <w:rsid w:val="004A71A5"/>
    <w:rsid w:val="004B73AD"/>
    <w:rsid w:val="004B7674"/>
    <w:rsid w:val="004C1FED"/>
    <w:rsid w:val="004C4D84"/>
    <w:rsid w:val="004C5AB5"/>
    <w:rsid w:val="004D0154"/>
    <w:rsid w:val="004E256C"/>
    <w:rsid w:val="004E41B8"/>
    <w:rsid w:val="004E48A9"/>
    <w:rsid w:val="004E521F"/>
    <w:rsid w:val="004E659C"/>
    <w:rsid w:val="004F7747"/>
    <w:rsid w:val="00500C90"/>
    <w:rsid w:val="00503195"/>
    <w:rsid w:val="0050538D"/>
    <w:rsid w:val="00512336"/>
    <w:rsid w:val="00516CDF"/>
    <w:rsid w:val="0051790F"/>
    <w:rsid w:val="00520625"/>
    <w:rsid w:val="00531441"/>
    <w:rsid w:val="005431CB"/>
    <w:rsid w:val="00551354"/>
    <w:rsid w:val="00554D74"/>
    <w:rsid w:val="00565ACE"/>
    <w:rsid w:val="00565BAE"/>
    <w:rsid w:val="005707F5"/>
    <w:rsid w:val="00580410"/>
    <w:rsid w:val="0058227F"/>
    <w:rsid w:val="00586095"/>
    <w:rsid w:val="00587F79"/>
    <w:rsid w:val="0059021E"/>
    <w:rsid w:val="005911EA"/>
    <w:rsid w:val="00592A34"/>
    <w:rsid w:val="005976DF"/>
    <w:rsid w:val="005977C7"/>
    <w:rsid w:val="005A15E6"/>
    <w:rsid w:val="005A553C"/>
    <w:rsid w:val="005E0E39"/>
    <w:rsid w:val="005E72A0"/>
    <w:rsid w:val="005F140D"/>
    <w:rsid w:val="005F1729"/>
    <w:rsid w:val="005F24B5"/>
    <w:rsid w:val="005F4D2A"/>
    <w:rsid w:val="005F7CEC"/>
    <w:rsid w:val="005F7DA2"/>
    <w:rsid w:val="00604437"/>
    <w:rsid w:val="006045B7"/>
    <w:rsid w:val="00606548"/>
    <w:rsid w:val="0061397C"/>
    <w:rsid w:val="00617663"/>
    <w:rsid w:val="00625B2F"/>
    <w:rsid w:val="00626C2F"/>
    <w:rsid w:val="006304D2"/>
    <w:rsid w:val="00631BBB"/>
    <w:rsid w:val="00636B50"/>
    <w:rsid w:val="006454F6"/>
    <w:rsid w:val="00645E3A"/>
    <w:rsid w:val="00652AEA"/>
    <w:rsid w:val="00652AEB"/>
    <w:rsid w:val="006532B1"/>
    <w:rsid w:val="006578FC"/>
    <w:rsid w:val="00666911"/>
    <w:rsid w:val="00667925"/>
    <w:rsid w:val="00667C53"/>
    <w:rsid w:val="00677B05"/>
    <w:rsid w:val="00677DF7"/>
    <w:rsid w:val="0068065A"/>
    <w:rsid w:val="006834D5"/>
    <w:rsid w:val="006A0180"/>
    <w:rsid w:val="006A2642"/>
    <w:rsid w:val="006A3264"/>
    <w:rsid w:val="006A5E23"/>
    <w:rsid w:val="006A7CD4"/>
    <w:rsid w:val="006B67A0"/>
    <w:rsid w:val="006B6E7D"/>
    <w:rsid w:val="006C7EC1"/>
    <w:rsid w:val="006E3524"/>
    <w:rsid w:val="006E5663"/>
    <w:rsid w:val="006E6063"/>
    <w:rsid w:val="006E69CD"/>
    <w:rsid w:val="006E6A74"/>
    <w:rsid w:val="006E6B29"/>
    <w:rsid w:val="00712D77"/>
    <w:rsid w:val="00714CB5"/>
    <w:rsid w:val="0071711F"/>
    <w:rsid w:val="00720709"/>
    <w:rsid w:val="007213F3"/>
    <w:rsid w:val="007329C2"/>
    <w:rsid w:val="00737603"/>
    <w:rsid w:val="00740F6A"/>
    <w:rsid w:val="007440ED"/>
    <w:rsid w:val="00747428"/>
    <w:rsid w:val="00753F93"/>
    <w:rsid w:val="00755A84"/>
    <w:rsid w:val="0076186A"/>
    <w:rsid w:val="00763307"/>
    <w:rsid w:val="00764824"/>
    <w:rsid w:val="00764D0C"/>
    <w:rsid w:val="00773CE8"/>
    <w:rsid w:val="0077467F"/>
    <w:rsid w:val="0077639D"/>
    <w:rsid w:val="00780E4B"/>
    <w:rsid w:val="00782925"/>
    <w:rsid w:val="00790012"/>
    <w:rsid w:val="0079096C"/>
    <w:rsid w:val="007A1FDE"/>
    <w:rsid w:val="007A2659"/>
    <w:rsid w:val="007A38C6"/>
    <w:rsid w:val="007A55B9"/>
    <w:rsid w:val="007C0442"/>
    <w:rsid w:val="007C47CE"/>
    <w:rsid w:val="007C641D"/>
    <w:rsid w:val="007C655D"/>
    <w:rsid w:val="007D05D5"/>
    <w:rsid w:val="007D3FC4"/>
    <w:rsid w:val="007D677A"/>
    <w:rsid w:val="007D7C50"/>
    <w:rsid w:val="007F0B1A"/>
    <w:rsid w:val="007F110A"/>
    <w:rsid w:val="007F73E4"/>
    <w:rsid w:val="00803839"/>
    <w:rsid w:val="00821A65"/>
    <w:rsid w:val="00841F85"/>
    <w:rsid w:val="00852B51"/>
    <w:rsid w:val="00856752"/>
    <w:rsid w:val="00856C15"/>
    <w:rsid w:val="00864E33"/>
    <w:rsid w:val="00874B61"/>
    <w:rsid w:val="00875148"/>
    <w:rsid w:val="008763BF"/>
    <w:rsid w:val="00876835"/>
    <w:rsid w:val="008816C3"/>
    <w:rsid w:val="00885E56"/>
    <w:rsid w:val="0088797D"/>
    <w:rsid w:val="00891E6B"/>
    <w:rsid w:val="00892659"/>
    <w:rsid w:val="00896DEB"/>
    <w:rsid w:val="008A1148"/>
    <w:rsid w:val="008A3095"/>
    <w:rsid w:val="008A6FAB"/>
    <w:rsid w:val="008B6703"/>
    <w:rsid w:val="008E00C4"/>
    <w:rsid w:val="008E519A"/>
    <w:rsid w:val="008E7B15"/>
    <w:rsid w:val="008F71B3"/>
    <w:rsid w:val="008F73EF"/>
    <w:rsid w:val="009044EE"/>
    <w:rsid w:val="00906A06"/>
    <w:rsid w:val="00913147"/>
    <w:rsid w:val="0091504E"/>
    <w:rsid w:val="0092708F"/>
    <w:rsid w:val="009323CB"/>
    <w:rsid w:val="00935AEB"/>
    <w:rsid w:val="00936523"/>
    <w:rsid w:val="009413C5"/>
    <w:rsid w:val="009416A7"/>
    <w:rsid w:val="009418B1"/>
    <w:rsid w:val="009438E7"/>
    <w:rsid w:val="009524A3"/>
    <w:rsid w:val="00953575"/>
    <w:rsid w:val="009572C1"/>
    <w:rsid w:val="00962E3A"/>
    <w:rsid w:val="00963626"/>
    <w:rsid w:val="00984C03"/>
    <w:rsid w:val="00987CA3"/>
    <w:rsid w:val="00990E7C"/>
    <w:rsid w:val="00992162"/>
    <w:rsid w:val="00994928"/>
    <w:rsid w:val="009A5BB4"/>
    <w:rsid w:val="009B3391"/>
    <w:rsid w:val="009B5639"/>
    <w:rsid w:val="009B59B9"/>
    <w:rsid w:val="009B78F0"/>
    <w:rsid w:val="009C67FA"/>
    <w:rsid w:val="009D0483"/>
    <w:rsid w:val="009E6A47"/>
    <w:rsid w:val="009E6B85"/>
    <w:rsid w:val="009F2DA7"/>
    <w:rsid w:val="009F3F66"/>
    <w:rsid w:val="009F6570"/>
    <w:rsid w:val="00A10F46"/>
    <w:rsid w:val="00A1268C"/>
    <w:rsid w:val="00A1620A"/>
    <w:rsid w:val="00A21892"/>
    <w:rsid w:val="00A255E5"/>
    <w:rsid w:val="00A2696D"/>
    <w:rsid w:val="00A3397F"/>
    <w:rsid w:val="00A36354"/>
    <w:rsid w:val="00A53E02"/>
    <w:rsid w:val="00A54729"/>
    <w:rsid w:val="00A55F34"/>
    <w:rsid w:val="00A6176B"/>
    <w:rsid w:val="00A61B23"/>
    <w:rsid w:val="00A62B12"/>
    <w:rsid w:val="00A63011"/>
    <w:rsid w:val="00A7667E"/>
    <w:rsid w:val="00A77D78"/>
    <w:rsid w:val="00A813BA"/>
    <w:rsid w:val="00A941AF"/>
    <w:rsid w:val="00A947A8"/>
    <w:rsid w:val="00A960DD"/>
    <w:rsid w:val="00AA19F1"/>
    <w:rsid w:val="00AA4BAD"/>
    <w:rsid w:val="00AB277D"/>
    <w:rsid w:val="00AC5094"/>
    <w:rsid w:val="00AD0ECF"/>
    <w:rsid w:val="00AD4770"/>
    <w:rsid w:val="00AD5FD5"/>
    <w:rsid w:val="00AE29DE"/>
    <w:rsid w:val="00AE334E"/>
    <w:rsid w:val="00AE664E"/>
    <w:rsid w:val="00AE6830"/>
    <w:rsid w:val="00AE78CD"/>
    <w:rsid w:val="00AF1943"/>
    <w:rsid w:val="00AF3681"/>
    <w:rsid w:val="00AF444D"/>
    <w:rsid w:val="00AF53C4"/>
    <w:rsid w:val="00B1514B"/>
    <w:rsid w:val="00B164E7"/>
    <w:rsid w:val="00B1720F"/>
    <w:rsid w:val="00B23060"/>
    <w:rsid w:val="00B244A4"/>
    <w:rsid w:val="00B27504"/>
    <w:rsid w:val="00B36A88"/>
    <w:rsid w:val="00B40711"/>
    <w:rsid w:val="00B432DC"/>
    <w:rsid w:val="00B473B3"/>
    <w:rsid w:val="00B53E34"/>
    <w:rsid w:val="00B57A1C"/>
    <w:rsid w:val="00B6117C"/>
    <w:rsid w:val="00B637F5"/>
    <w:rsid w:val="00B64937"/>
    <w:rsid w:val="00B65739"/>
    <w:rsid w:val="00B6755E"/>
    <w:rsid w:val="00B746F6"/>
    <w:rsid w:val="00B820C1"/>
    <w:rsid w:val="00B850CC"/>
    <w:rsid w:val="00B869DF"/>
    <w:rsid w:val="00B87A82"/>
    <w:rsid w:val="00B95039"/>
    <w:rsid w:val="00B9640F"/>
    <w:rsid w:val="00BA29A0"/>
    <w:rsid w:val="00BA2FCC"/>
    <w:rsid w:val="00BA3E6C"/>
    <w:rsid w:val="00BB1C27"/>
    <w:rsid w:val="00BB3060"/>
    <w:rsid w:val="00BB5166"/>
    <w:rsid w:val="00BB6148"/>
    <w:rsid w:val="00BC3787"/>
    <w:rsid w:val="00BD763A"/>
    <w:rsid w:val="00BE0E4E"/>
    <w:rsid w:val="00BE6543"/>
    <w:rsid w:val="00BF14C0"/>
    <w:rsid w:val="00BF1788"/>
    <w:rsid w:val="00BF2BFE"/>
    <w:rsid w:val="00C123B8"/>
    <w:rsid w:val="00C1470F"/>
    <w:rsid w:val="00C152EE"/>
    <w:rsid w:val="00C163A0"/>
    <w:rsid w:val="00C209FD"/>
    <w:rsid w:val="00C2745F"/>
    <w:rsid w:val="00C31667"/>
    <w:rsid w:val="00C41759"/>
    <w:rsid w:val="00C46458"/>
    <w:rsid w:val="00C8719F"/>
    <w:rsid w:val="00C9004B"/>
    <w:rsid w:val="00C90F4F"/>
    <w:rsid w:val="00C90FCF"/>
    <w:rsid w:val="00C9122E"/>
    <w:rsid w:val="00C92F70"/>
    <w:rsid w:val="00C949F4"/>
    <w:rsid w:val="00C96A10"/>
    <w:rsid w:val="00CA3776"/>
    <w:rsid w:val="00CA553B"/>
    <w:rsid w:val="00CA63A2"/>
    <w:rsid w:val="00CB2A20"/>
    <w:rsid w:val="00CB54D1"/>
    <w:rsid w:val="00CB5CA9"/>
    <w:rsid w:val="00CD1531"/>
    <w:rsid w:val="00CE0D39"/>
    <w:rsid w:val="00CE4C7C"/>
    <w:rsid w:val="00CE7547"/>
    <w:rsid w:val="00D02750"/>
    <w:rsid w:val="00D1323D"/>
    <w:rsid w:val="00D13556"/>
    <w:rsid w:val="00D25904"/>
    <w:rsid w:val="00D30200"/>
    <w:rsid w:val="00D409A5"/>
    <w:rsid w:val="00D4284A"/>
    <w:rsid w:val="00D53F0C"/>
    <w:rsid w:val="00D62995"/>
    <w:rsid w:val="00D672E7"/>
    <w:rsid w:val="00D7241F"/>
    <w:rsid w:val="00D76AC2"/>
    <w:rsid w:val="00D8183F"/>
    <w:rsid w:val="00D93A0C"/>
    <w:rsid w:val="00DA0B9C"/>
    <w:rsid w:val="00DA2EA8"/>
    <w:rsid w:val="00DA4CB7"/>
    <w:rsid w:val="00DE4AF0"/>
    <w:rsid w:val="00DF20F0"/>
    <w:rsid w:val="00DF2A32"/>
    <w:rsid w:val="00DF5F0E"/>
    <w:rsid w:val="00DF6D27"/>
    <w:rsid w:val="00E15AA7"/>
    <w:rsid w:val="00E23BF2"/>
    <w:rsid w:val="00E260FF"/>
    <w:rsid w:val="00E32AFA"/>
    <w:rsid w:val="00E35B4F"/>
    <w:rsid w:val="00E36447"/>
    <w:rsid w:val="00E36C3E"/>
    <w:rsid w:val="00E37FA3"/>
    <w:rsid w:val="00E4297C"/>
    <w:rsid w:val="00E53264"/>
    <w:rsid w:val="00E54A76"/>
    <w:rsid w:val="00E55E6A"/>
    <w:rsid w:val="00E6035A"/>
    <w:rsid w:val="00E61F3A"/>
    <w:rsid w:val="00E656C1"/>
    <w:rsid w:val="00E81C00"/>
    <w:rsid w:val="00E83241"/>
    <w:rsid w:val="00E848F9"/>
    <w:rsid w:val="00E856D7"/>
    <w:rsid w:val="00E93D8D"/>
    <w:rsid w:val="00E948D6"/>
    <w:rsid w:val="00E97392"/>
    <w:rsid w:val="00EB0440"/>
    <w:rsid w:val="00EB3C1E"/>
    <w:rsid w:val="00EB41A5"/>
    <w:rsid w:val="00EB4394"/>
    <w:rsid w:val="00EB4C49"/>
    <w:rsid w:val="00EC2240"/>
    <w:rsid w:val="00EE608B"/>
    <w:rsid w:val="00EE618A"/>
    <w:rsid w:val="00EF1FC5"/>
    <w:rsid w:val="00EF28ED"/>
    <w:rsid w:val="00EF3FF6"/>
    <w:rsid w:val="00EF6C15"/>
    <w:rsid w:val="00F0189D"/>
    <w:rsid w:val="00F0557B"/>
    <w:rsid w:val="00F1715C"/>
    <w:rsid w:val="00F341D3"/>
    <w:rsid w:val="00F40385"/>
    <w:rsid w:val="00F429B2"/>
    <w:rsid w:val="00F55752"/>
    <w:rsid w:val="00F63FC0"/>
    <w:rsid w:val="00F7185C"/>
    <w:rsid w:val="00F802C6"/>
    <w:rsid w:val="00F8558B"/>
    <w:rsid w:val="00F92C94"/>
    <w:rsid w:val="00F97699"/>
    <w:rsid w:val="00F979ED"/>
    <w:rsid w:val="00FA0BEC"/>
    <w:rsid w:val="00FA6550"/>
    <w:rsid w:val="00FB0F4A"/>
    <w:rsid w:val="00FB3C2B"/>
    <w:rsid w:val="00FC0BBA"/>
    <w:rsid w:val="00FC173E"/>
    <w:rsid w:val="00FC439B"/>
    <w:rsid w:val="00FD0183"/>
    <w:rsid w:val="00FD094C"/>
    <w:rsid w:val="00FD7704"/>
    <w:rsid w:val="00FF5CAA"/>
    <w:rsid w:val="00FF794B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AE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5"/>
    <w:locked/>
    <w:rsid w:val="00652AEB"/>
    <w:rPr>
      <w:rFonts w:ascii="Arial" w:hAnsi="Arial" w:cs="Arial" w:hint="default"/>
      <w:sz w:val="28"/>
      <w:lang w:val="ru-RU" w:eastAsia="ru-RU" w:bidi="ar-SA"/>
    </w:rPr>
  </w:style>
  <w:style w:type="paragraph" w:styleId="a5">
    <w:name w:val="Body Text Indent"/>
    <w:basedOn w:val="a"/>
    <w:link w:val="a4"/>
    <w:rsid w:val="00652AEB"/>
    <w:pPr>
      <w:ind w:firstLine="709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semiHidden/>
    <w:rsid w:val="00652AEB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652AEB"/>
    <w:pPr>
      <w:keepNext/>
      <w:spacing w:before="20" w:after="20"/>
      <w:jc w:val="center"/>
    </w:pPr>
    <w:rPr>
      <w:rFonts w:ascii="Arial" w:hAnsi="Arial" w:cs="Arial"/>
      <w:b/>
      <w:szCs w:val="20"/>
    </w:rPr>
  </w:style>
  <w:style w:type="table" w:styleId="a7">
    <w:name w:val="Table Grid"/>
    <w:basedOn w:val="a1"/>
    <w:rsid w:val="0065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617248326424438E-2"/>
          <c:y val="5.6505239237376194E-2"/>
          <c:w val="0.88887538870015459"/>
          <c:h val="0.4684571561611348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Бензин марки А-98</c:v>
                </c:pt>
              </c:strCache>
            </c:strRef>
          </c:tx>
          <c:spPr>
            <a:ln w="2533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ХI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101.89</c:v>
                </c:pt>
                <c:pt idx="1">
                  <c:v>101.89</c:v>
                </c:pt>
                <c:pt idx="2">
                  <c:v>102.27</c:v>
                </c:pt>
                <c:pt idx="3">
                  <c:v>101.86</c:v>
                </c:pt>
                <c:pt idx="4">
                  <c:v>101.86</c:v>
                </c:pt>
                <c:pt idx="5">
                  <c:v>102.82</c:v>
                </c:pt>
                <c:pt idx="6">
                  <c:v>103.53</c:v>
                </c:pt>
                <c:pt idx="7">
                  <c:v>103.53</c:v>
                </c:pt>
                <c:pt idx="8">
                  <c:v>103.53</c:v>
                </c:pt>
                <c:pt idx="9">
                  <c:v>103.53</c:v>
                </c:pt>
                <c:pt idx="10">
                  <c:v>103.53</c:v>
                </c:pt>
                <c:pt idx="11">
                  <c:v>102.95</c:v>
                </c:pt>
                <c:pt idx="12">
                  <c:v>102.95</c:v>
                </c:pt>
                <c:pt idx="13">
                  <c:v>102.95</c:v>
                </c:pt>
                <c:pt idx="14">
                  <c:v>102.95</c:v>
                </c:pt>
                <c:pt idx="15">
                  <c:v>102.95</c:v>
                </c:pt>
                <c:pt idx="16">
                  <c:v>105.5</c:v>
                </c:pt>
                <c:pt idx="17">
                  <c:v>107.01</c:v>
                </c:pt>
                <c:pt idx="18">
                  <c:v>107.01</c:v>
                </c:pt>
                <c:pt idx="19">
                  <c:v>107.02</c:v>
                </c:pt>
                <c:pt idx="20">
                  <c:v>107.02</c:v>
                </c:pt>
                <c:pt idx="21">
                  <c:v>107.02</c:v>
                </c:pt>
                <c:pt idx="22">
                  <c:v>107.02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Бензин марки АИ-92 (АИ-93 и т.п.)</c:v>
                </c:pt>
              </c:strCache>
            </c:strRef>
          </c:tx>
          <c:spPr>
            <a:ln w="2533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ХI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101.35</c:v>
                </c:pt>
                <c:pt idx="1">
                  <c:v>101.35</c:v>
                </c:pt>
                <c:pt idx="2">
                  <c:v>101.76</c:v>
                </c:pt>
                <c:pt idx="3">
                  <c:v>102.2</c:v>
                </c:pt>
                <c:pt idx="4">
                  <c:v>102.2</c:v>
                </c:pt>
                <c:pt idx="5">
                  <c:v>103.13</c:v>
                </c:pt>
                <c:pt idx="6">
                  <c:v>103.85</c:v>
                </c:pt>
                <c:pt idx="7">
                  <c:v>103.85</c:v>
                </c:pt>
                <c:pt idx="8">
                  <c:v>103.85</c:v>
                </c:pt>
                <c:pt idx="9">
                  <c:v>103.85</c:v>
                </c:pt>
                <c:pt idx="10">
                  <c:v>103.85</c:v>
                </c:pt>
                <c:pt idx="11">
                  <c:v>103.79</c:v>
                </c:pt>
                <c:pt idx="12">
                  <c:v>104.64999999999999</c:v>
                </c:pt>
                <c:pt idx="13">
                  <c:v>102.52</c:v>
                </c:pt>
                <c:pt idx="14">
                  <c:v>102.52</c:v>
                </c:pt>
                <c:pt idx="15">
                  <c:v>102.52</c:v>
                </c:pt>
                <c:pt idx="16">
                  <c:v>107.77</c:v>
                </c:pt>
                <c:pt idx="17">
                  <c:v>107.77</c:v>
                </c:pt>
                <c:pt idx="18">
                  <c:v>107.77</c:v>
                </c:pt>
                <c:pt idx="19">
                  <c:v>107.77</c:v>
                </c:pt>
                <c:pt idx="20">
                  <c:v>107.77</c:v>
                </c:pt>
                <c:pt idx="21">
                  <c:v>107.77</c:v>
                </c:pt>
                <c:pt idx="22">
                  <c:v>107.77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Бензин марки АИ-95 и выше</c:v>
                </c:pt>
              </c:strCache>
            </c:strRef>
          </c:tx>
          <c:spPr>
            <a:ln w="25338">
              <a:solidFill>
                <a:srgbClr val="8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ХI</c:v>
                </c:pt>
              </c:strCache>
            </c:strRef>
          </c:cat>
          <c:val>
            <c:numRef>
              <c:f>Sheet1!$B$4:$X$4</c:f>
              <c:numCache>
                <c:formatCode>General</c:formatCode>
                <c:ptCount val="23"/>
                <c:pt idx="0">
                  <c:v>101.89</c:v>
                </c:pt>
                <c:pt idx="1">
                  <c:v>101.89</c:v>
                </c:pt>
                <c:pt idx="2">
                  <c:v>102.27</c:v>
                </c:pt>
                <c:pt idx="3">
                  <c:v>101.86</c:v>
                </c:pt>
                <c:pt idx="4">
                  <c:v>101.86</c:v>
                </c:pt>
                <c:pt idx="5">
                  <c:v>102.82</c:v>
                </c:pt>
                <c:pt idx="6">
                  <c:v>103.53</c:v>
                </c:pt>
                <c:pt idx="7">
                  <c:v>103.53</c:v>
                </c:pt>
                <c:pt idx="8">
                  <c:v>103.53</c:v>
                </c:pt>
                <c:pt idx="9">
                  <c:v>103.53</c:v>
                </c:pt>
                <c:pt idx="10">
                  <c:v>103.53</c:v>
                </c:pt>
                <c:pt idx="11">
                  <c:v>102.95</c:v>
                </c:pt>
                <c:pt idx="12">
                  <c:v>103.81</c:v>
                </c:pt>
                <c:pt idx="13">
                  <c:v>103.81</c:v>
                </c:pt>
                <c:pt idx="14">
                  <c:v>103.81</c:v>
                </c:pt>
                <c:pt idx="15">
                  <c:v>103.81</c:v>
                </c:pt>
                <c:pt idx="16">
                  <c:v>107.17999999999998</c:v>
                </c:pt>
                <c:pt idx="17">
                  <c:v>107.17999999999998</c:v>
                </c:pt>
                <c:pt idx="18">
                  <c:v>107.17999999999998</c:v>
                </c:pt>
                <c:pt idx="19">
                  <c:v>107.17999999999998</c:v>
                </c:pt>
                <c:pt idx="20">
                  <c:v>107.17999999999998</c:v>
                </c:pt>
                <c:pt idx="21">
                  <c:v>107.17999999999998</c:v>
                </c:pt>
                <c:pt idx="22">
                  <c:v>107.17999999999998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Дизельное топливо</c:v>
                </c:pt>
              </c:strCache>
            </c:strRef>
          </c:tx>
          <c:spPr>
            <a:ln w="25338">
              <a:solidFill>
                <a:srgbClr val="00CC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ХI</c:v>
                </c:pt>
              </c:strCache>
            </c:strRef>
          </c:cat>
          <c:val>
            <c:numRef>
              <c:f>Sheet1!$B$5:$X$5</c:f>
              <c:numCache>
                <c:formatCode>General</c:formatCode>
                <c:ptCount val="23"/>
                <c:pt idx="0">
                  <c:v>102.2</c:v>
                </c:pt>
                <c:pt idx="1">
                  <c:v>102.2</c:v>
                </c:pt>
                <c:pt idx="2">
                  <c:v>102.61</c:v>
                </c:pt>
                <c:pt idx="3">
                  <c:v>102.29</c:v>
                </c:pt>
                <c:pt idx="4">
                  <c:v>102.29</c:v>
                </c:pt>
                <c:pt idx="5">
                  <c:v>103.17999999999998</c:v>
                </c:pt>
                <c:pt idx="6">
                  <c:v>103.84</c:v>
                </c:pt>
                <c:pt idx="7">
                  <c:v>103.84</c:v>
                </c:pt>
                <c:pt idx="8">
                  <c:v>103.84</c:v>
                </c:pt>
                <c:pt idx="9">
                  <c:v>103.84</c:v>
                </c:pt>
                <c:pt idx="10">
                  <c:v>107.63</c:v>
                </c:pt>
                <c:pt idx="11">
                  <c:v>108.16999999999999</c:v>
                </c:pt>
                <c:pt idx="12">
                  <c:v>109.77</c:v>
                </c:pt>
                <c:pt idx="13">
                  <c:v>107.73</c:v>
                </c:pt>
                <c:pt idx="14">
                  <c:v>107.73</c:v>
                </c:pt>
                <c:pt idx="15">
                  <c:v>107.73</c:v>
                </c:pt>
                <c:pt idx="16">
                  <c:v>113.36999999999999</c:v>
                </c:pt>
                <c:pt idx="17">
                  <c:v>113.36999999999999</c:v>
                </c:pt>
                <c:pt idx="18">
                  <c:v>113.36999999999999</c:v>
                </c:pt>
                <c:pt idx="19">
                  <c:v>113.36999999999999</c:v>
                </c:pt>
                <c:pt idx="20">
                  <c:v>113.36999999999999</c:v>
                </c:pt>
                <c:pt idx="21">
                  <c:v>113.36999999999999</c:v>
                </c:pt>
                <c:pt idx="22">
                  <c:v>116.36999999999999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ИПЦ</c:v>
                </c:pt>
              </c:strCache>
            </c:strRef>
          </c:tx>
          <c:spPr>
            <a:ln w="25338">
              <a:solidFill>
                <a:srgbClr val="00800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ХI</c:v>
                </c:pt>
              </c:strCache>
            </c:strRef>
          </c:cat>
          <c:val>
            <c:numRef>
              <c:f>Sheet1!$B$6:$X$6</c:f>
              <c:numCache>
                <c:formatCode>General</c:formatCode>
                <c:ptCount val="23"/>
                <c:pt idx="0">
                  <c:v>106.16</c:v>
                </c:pt>
                <c:pt idx="1">
                  <c:v>106.51</c:v>
                </c:pt>
                <c:pt idx="2">
                  <c:v>106.63</c:v>
                </c:pt>
                <c:pt idx="3">
                  <c:v>106.96000000000002</c:v>
                </c:pt>
                <c:pt idx="4">
                  <c:v>107.06</c:v>
                </c:pt>
                <c:pt idx="5">
                  <c:v>107.11999999999999</c:v>
                </c:pt>
                <c:pt idx="6">
                  <c:v>107.26</c:v>
                </c:pt>
                <c:pt idx="7">
                  <c:v>107.34</c:v>
                </c:pt>
                <c:pt idx="8">
                  <c:v>107.34</c:v>
                </c:pt>
                <c:pt idx="9">
                  <c:v>107.35</c:v>
                </c:pt>
                <c:pt idx="10">
                  <c:v>107.4</c:v>
                </c:pt>
                <c:pt idx="11">
                  <c:v>102.09</c:v>
                </c:pt>
                <c:pt idx="12">
                  <c:v>102.29</c:v>
                </c:pt>
                <c:pt idx="13">
                  <c:v>102.3</c:v>
                </c:pt>
                <c:pt idx="14">
                  <c:v>102.86</c:v>
                </c:pt>
                <c:pt idx="15">
                  <c:v>103.09</c:v>
                </c:pt>
                <c:pt idx="16">
                  <c:v>103.5</c:v>
                </c:pt>
                <c:pt idx="17">
                  <c:v>103.63</c:v>
                </c:pt>
                <c:pt idx="18">
                  <c:v>103.64</c:v>
                </c:pt>
                <c:pt idx="19">
                  <c:v>103.84</c:v>
                </c:pt>
                <c:pt idx="20">
                  <c:v>104.53</c:v>
                </c:pt>
                <c:pt idx="21">
                  <c:v>104.72</c:v>
                </c:pt>
                <c:pt idx="22">
                  <c:v>105.06</c:v>
                </c:pt>
              </c:numCache>
            </c:numRef>
          </c:val>
        </c:ser>
        <c:marker val="1"/>
        <c:axId val="83964672"/>
        <c:axId val="83966208"/>
      </c:lineChart>
      <c:catAx>
        <c:axId val="83964672"/>
        <c:scaling>
          <c:orientation val="minMax"/>
        </c:scaling>
        <c:axPos val="b"/>
        <c:majorGridlines>
          <c:spPr>
            <a:ln w="12669">
              <a:solidFill>
                <a:srgbClr val="808080"/>
              </a:solidFill>
              <a:prstDash val="solid"/>
            </a:ln>
          </c:spPr>
        </c:majorGridlines>
        <c:numFmt formatCode="General" sourceLinked="0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966208"/>
        <c:crossesAt val="95"/>
        <c:auto val="1"/>
        <c:lblAlgn val="ctr"/>
        <c:lblOffset val="100"/>
        <c:tickLblSkip val="1"/>
        <c:tickMarkSkip val="1"/>
      </c:catAx>
      <c:valAx>
        <c:axId val="83966208"/>
        <c:scaling>
          <c:orientation val="minMax"/>
          <c:min val="95"/>
        </c:scaling>
        <c:axPos val="l"/>
        <c:majorGridlines>
          <c:spPr>
            <a:ln w="12669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964672"/>
        <c:crosses val="autoZero"/>
        <c:crossBetween val="midCat"/>
        <c:majorUnit val="5"/>
        <c:minorUnit val="5"/>
      </c:valAx>
      <c:spPr>
        <a:noFill/>
        <a:ln w="25338">
          <a:noFill/>
        </a:ln>
      </c:spPr>
    </c:plotArea>
    <c:legend>
      <c:legendPos val="b"/>
      <c:layout>
        <c:manualLayout>
          <c:xMode val="edge"/>
          <c:yMode val="edge"/>
          <c:x val="9.984871406959149E-2"/>
          <c:y val="0.66457680250784801"/>
          <c:w val="0.85173978819969764"/>
          <c:h val="0.3385579937304185"/>
        </c:manualLayout>
      </c:layout>
      <c:spPr>
        <a:noFill/>
        <a:ln w="25338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0.0415</cdr:x>
      <cdr:y>0.59225</cdr:y>
    </cdr:from>
    <cdr:to>
      <cdr:x>0.099</cdr:x>
      <cdr:y>0.66425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1285" y="1799537"/>
          <a:ext cx="362021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endParaRPr lang="ru-RU" sz="1200" b="0" i="0" strike="noStrike">
            <a:solidFill>
              <a:srgbClr val="000000"/>
            </a:solidFill>
            <a:latin typeface="Times New Roman"/>
            <a:cs typeface="Times New Roman"/>
          </a:endParaRPr>
        </a:p>
        <a:p xmlns:a="http://schemas.openxmlformats.org/drawingml/2006/main">
          <a:pPr algn="l" rtl="1">
            <a:defRPr sz="1000"/>
          </a:pPr>
          <a:endParaRPr lang="ru-RU" sz="1200" b="0" i="0" strike="noStrike">
            <a:solidFill>
              <a:srgbClr val="000000"/>
            </a:solidFill>
            <a:latin typeface="Times New Roman"/>
            <a:cs typeface="Times New Roman"/>
          </a:endParaRPr>
        </a:p>
        <a:p xmlns:a="http://schemas.openxmlformats.org/drawingml/2006/main">
          <a:pPr algn="l" rtl="1">
            <a:defRPr sz="1000"/>
          </a:pPr>
          <a:endParaRPr lang="ru-RU" sz="1200" b="0" i="0" strike="noStrike">
            <a:solidFill>
              <a:srgbClr val="000000"/>
            </a:solidFill>
            <a:latin typeface="Times New Roman"/>
            <a:cs typeface="Times New Roman"/>
          </a:endParaRPr>
        </a:p>
        <a:p xmlns:a="http://schemas.openxmlformats.org/drawingml/2006/main">
          <a:pPr algn="l" rtl="1">
            <a:defRPr sz="1000"/>
          </a:pPr>
          <a:endParaRPr lang="ru-RU" sz="1200" b="0" i="0" strike="noStrike">
            <a:solidFill>
              <a:srgbClr val="000000"/>
            </a:solidFill>
            <a:latin typeface="Times New Roman"/>
            <a:cs typeface="Times New Roman"/>
          </a:endParaRPr>
        </a:p>
        <a:p xmlns:a="http://schemas.openxmlformats.org/drawingml/2006/main">
          <a:pPr algn="l" rtl="1">
            <a:defRPr sz="1000"/>
          </a:pPr>
          <a:endParaRPr lang="ru-RU" sz="1200" b="0" i="0" strike="noStrike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0.32539</cdr:x>
      <cdr:y>0.61578</cdr:y>
    </cdr:from>
    <cdr:to>
      <cdr:x>0.42214</cdr:x>
      <cdr:y>0.67528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91429" y="1656207"/>
          <a:ext cx="592123" cy="1600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en-US" sz="1000" b="0" i="0" strike="noStrike">
              <a:solidFill>
                <a:srgbClr val="000000"/>
              </a:solidFill>
              <a:latin typeface="Arial Cyr"/>
            </a:rPr>
            <a:t>7</a:t>
          </a:r>
          <a:endParaRPr lang="ru-RU" sz="10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г.                                  2011                                 2011г.</a:t>
          </a:r>
        </a:p>
        <a:p xmlns:a="http://schemas.openxmlformats.org/drawingml/2006/main">
          <a:pPr algn="l" rtl="1">
            <a:defRPr sz="1000"/>
          </a:pPr>
          <a:endParaRPr lang="ru-RU" sz="800" b="1" i="0" strike="noStrike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0.78877</cdr:x>
      <cdr:y>0.62016</cdr:y>
    </cdr:from>
    <cdr:to>
      <cdr:x>0.87052</cdr:x>
      <cdr:y>0.71116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27375" y="1667976"/>
          <a:ext cx="500321" cy="2447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en-US" sz="1000" b="0" i="0" strike="noStrike">
              <a:solidFill>
                <a:srgbClr val="000000"/>
              </a:solidFill>
              <a:latin typeface="Arial Cyr"/>
            </a:rPr>
            <a:t>8</a:t>
          </a:r>
          <a:endParaRPr lang="ru-RU" sz="10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1">
            <a:defRPr sz="1000"/>
          </a:pPr>
          <a:endParaRPr lang="ru-RU" sz="10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1">
            <a:defRPr sz="1000"/>
          </a:pPr>
          <a:endParaRPr lang="ru-RU" sz="10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1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г.                                  2011                                 2011г.</a:t>
          </a:r>
        </a:p>
        <a:p xmlns:a="http://schemas.openxmlformats.org/drawingml/2006/main">
          <a:pPr algn="l" rtl="1">
            <a:defRPr sz="1000"/>
          </a:pPr>
          <a:endParaRPr lang="ru-RU" sz="800" b="1" i="0" strike="noStrike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1010-15D9-479F-923E-D4205326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Динамика потребительских цен на бензин и дизельное топливо:</vt:lpstr>
    </vt:vector>
  </TitlesOfParts>
  <Company>home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потребительских цен на бензин и дизельное топливо:</dc:title>
  <dc:subject/>
  <dc:creator>Reznichenko_O</dc:creator>
  <cp:keywords/>
  <dc:description/>
  <cp:lastModifiedBy>kamstat</cp:lastModifiedBy>
  <cp:revision>3</cp:revision>
  <cp:lastPrinted>2018-02-09T02:21:00Z</cp:lastPrinted>
  <dcterms:created xsi:type="dcterms:W3CDTF">2018-12-11T04:51:00Z</dcterms:created>
  <dcterms:modified xsi:type="dcterms:W3CDTF">2018-12-11T04:53:00Z</dcterms:modified>
</cp:coreProperties>
</file>